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ind w:firstLine="3054" w:firstLineChars="845"/>
        <w:rPr>
          <w:b w:val="1"/>
          <w:sz w:val="36"/>
          <w:szCs w:val="36"/>
          <w:rFonts w:hint="eastAsia"/>
        </w:rPr>
      </w:pPr>
      <w:r>
        <w:rPr>
          <w:b w:val="1"/>
          <w:sz w:val="36"/>
          <w:szCs w:val="36"/>
          <w:rFonts w:hint="eastAsia"/>
        </w:rPr>
        <w:t xml:space="preserve">隔音室技术参数</w:t>
      </w:r>
      <w:r>
        <w:rPr>
          <w:b w:val="1"/>
          <w:sz w:val="28"/>
          <w:szCs w:val="28"/>
          <w:rFonts w:hint="eastAsia"/>
        </w:rPr>
      </w:r>
    </w:p>
    <w:p>
      <w:pPr>
        <w:pStyle w:val="179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1.参照国家标准GB/T16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296-2016</w:t>
      </w:r>
      <w:r>
        <w:rPr>
          <w:sz w:val="24"/>
          <w:szCs w:val="24"/>
          <w:rFonts w:ascii="宋体" w:hAnsi="宋体" w:hint="eastAsia"/>
        </w:rPr>
        <w:t xml:space="preserve">《</w:t>
      </w:r>
      <w:r>
        <w:rPr>
          <w:sz w:val="24"/>
          <w:lang w:eastAsia="zh-CN"/>
          <w:szCs w:val="24"/>
          <w:rFonts w:ascii="宋体" w:hAnsi="宋体" w:hint="eastAsia"/>
        </w:rPr>
        <w:t xml:space="preserve">纯音气导和骨导听阀基本消声法</w:t>
      </w:r>
      <w:r>
        <w:rPr>
          <w:sz w:val="24"/>
          <w:szCs w:val="24"/>
          <w:rFonts w:ascii="宋体" w:hAnsi="宋体" w:hint="eastAsia"/>
        </w:rPr>
        <w:t xml:space="preserve">》生产，室内本底噪声≤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2</w:t>
      </w:r>
      <w:r>
        <w:rPr>
          <w:sz w:val="24"/>
          <w:szCs w:val="24"/>
          <w:rFonts w:ascii="宋体" w:hAnsi="宋体" w:hint="eastAsia"/>
        </w:rPr>
        <w:t xml:space="preserve">8dB（A）标准，《室外本底噪声≤55dB（A）》</w:t>
      </w:r>
      <w:r>
        <w:rPr>
          <w:sz w:val="28"/>
          <w:szCs w:val="28"/>
        </w:rPr>
      </w:r>
    </w:p>
    <w:p>
      <w:pPr>
        <w:pStyle w:val="Normal"/>
        <w:spacing w:line="360" w:lineRule="auto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2.尺寸内径:</w:t>
      </w:r>
      <w:r>
        <w:rPr>
          <w:color w:val="000000"/>
          <w:sz w:val="24"/>
          <w:szCs w:val="24"/>
          <w:rFonts w:ascii="宋体" w:hAnsi="宋体" w:hint="eastAsia"/>
        </w:rPr>
        <w:t xml:space="preserve">长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1.2</w:t>
      </w:r>
      <w:r>
        <w:rPr>
          <w:color w:val="000000"/>
          <w:sz w:val="24"/>
          <w:szCs w:val="24"/>
          <w:rFonts w:ascii="宋体" w:hAnsi="宋体" w:hint="eastAsia"/>
        </w:rPr>
        <w:t xml:space="preserve">米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color w:val="000000"/>
          <w:sz w:val="24"/>
          <w:szCs w:val="24"/>
          <w:rFonts w:ascii="宋体" w:hAnsi="宋体" w:hint="eastAsia"/>
        </w:rPr>
        <w:t xml:space="preserve">宽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1.2</w:t>
      </w:r>
      <w:r>
        <w:rPr>
          <w:color w:val="000000"/>
          <w:sz w:val="24"/>
          <w:szCs w:val="24"/>
          <w:rFonts w:ascii="宋体" w:hAnsi="宋体" w:hint="eastAsia"/>
        </w:rPr>
        <w:t xml:space="preserve">米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color w:val="000000"/>
          <w:sz w:val="24"/>
          <w:szCs w:val="24"/>
          <w:rFonts w:ascii="宋体" w:hAnsi="宋体" w:hint="eastAsia"/>
        </w:rPr>
        <w:t xml:space="preserve">高2.1米</w:t>
      </w:r>
      <w:r>
        <w:rPr>
          <w:color w:val="000000"/>
          <w:sz w:val="24"/>
          <w:lang w:eastAsia="zh-CN"/>
          <w:szCs w:val="24"/>
          <w:rFonts w:ascii="宋体" w:hAnsi="宋体" w:hint="eastAsia"/>
        </w:rPr>
        <w:t xml:space="preserve">（可定制）</w:t>
      </w:r>
      <w:r>
        <w:rPr>
          <w:color w:val="000000"/>
          <w:sz w:val="24"/>
          <w:szCs w:val="24"/>
          <w:rFonts w:ascii="宋体" w:hAnsi="宋体" w:hint="eastAsia"/>
        </w:rPr>
        <w:t xml:space="preserve">.</w:t>
      </w:r>
      <w:r>
        <w:rPr>
          <w:color w:val="ff0000"/>
          <w:sz w:val="24"/>
          <w:szCs w:val="24"/>
          <w:rFonts w:ascii="宋体" w:hAnsi="宋体" w:hint="eastAsia"/>
        </w:rPr>
      </w:r>
    </w:p>
    <w:p>
      <w:pPr>
        <w:pStyle w:val="Normal"/>
        <w:spacing w:line="360" w:lineRule="auto"/>
        <w:ind w:firstLine="240" w:firstLineChars="10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尺寸外径:</w:t>
      </w:r>
      <w:r>
        <w:rPr>
          <w:color w:val="000000"/>
          <w:sz w:val="24"/>
          <w:szCs w:val="24"/>
          <w:rFonts w:ascii="宋体" w:hAnsi="宋体" w:hint="eastAsia"/>
        </w:rPr>
        <w:t xml:space="preserve">长1.7</w:t>
      </w:r>
      <w:r>
        <w:rPr>
          <w:color w:val="000000"/>
          <w:sz w:val="24"/>
          <w:szCs w:val="24"/>
          <w:rFonts w:ascii="宋体" w:hAnsi="宋体" w:hint="eastAsia"/>
        </w:rPr>
        <w:t xml:space="preserve">米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color w:val="000000"/>
          <w:sz w:val="24"/>
          <w:szCs w:val="24"/>
          <w:rFonts w:ascii="宋体" w:hAnsi="宋体" w:hint="eastAsia"/>
        </w:rPr>
        <w:t xml:space="preserve">宽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1.7</w:t>
      </w:r>
      <w:r>
        <w:rPr>
          <w:color w:val="000000"/>
          <w:sz w:val="24"/>
          <w:szCs w:val="24"/>
          <w:rFonts w:ascii="宋体" w:hAnsi="宋体" w:hint="eastAsia"/>
        </w:rPr>
        <w:t xml:space="preserve">米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color w:val="000000"/>
          <w:sz w:val="24"/>
          <w:szCs w:val="24"/>
          <w:rFonts w:ascii="宋体" w:hAnsi="宋体" w:hint="eastAsia"/>
        </w:rPr>
        <w:t xml:space="preserve">高2.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5</w:t>
      </w:r>
      <w:r>
        <w:rPr>
          <w:color w:val="000000"/>
          <w:sz w:val="24"/>
          <w:szCs w:val="24"/>
          <w:rFonts w:ascii="宋体" w:hAnsi="宋体" w:hint="eastAsia"/>
        </w:rPr>
        <w:t xml:space="preserve">米</w:t>
      </w:r>
      <w:r>
        <w:rPr>
          <w:color w:val="000000"/>
          <w:sz w:val="24"/>
          <w:lang w:eastAsia="zh-CN"/>
          <w:szCs w:val="24"/>
          <w:rFonts w:ascii="宋体" w:hAnsi="宋体" w:hint="eastAsia"/>
        </w:rPr>
        <w:t xml:space="preserve">（可定制）</w:t>
      </w:r>
      <w:r>
        <w:rPr>
          <w:color w:val="000000"/>
          <w:sz w:val="24"/>
          <w:szCs w:val="24"/>
          <w:rFonts w:ascii="宋体" w:hAnsi="宋体" w:hint="eastAsia"/>
        </w:rPr>
        <w:t xml:space="preserve">.</w:t>
      </w:r>
      <w:r>
        <w:rPr>
          <w:color w:val="ff0000"/>
          <w:sz w:val="24"/>
          <w:szCs w:val="24"/>
          <w:rFonts w:ascii="宋体" w:hAnsi="宋体" w:hint="eastAsia"/>
        </w:rPr>
      </w:r>
    </w:p>
    <w:p>
      <w:pPr>
        <w:pStyle w:val="Normal"/>
        <w:spacing w:line="360" w:lineRule="auto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3.双层中空隔音窗，尺寸：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50</w:t>
      </w:r>
      <w:r>
        <w:rPr>
          <w:sz w:val="24"/>
          <w:szCs w:val="24"/>
          <w:rFonts w:ascii="宋体" w:hAnsi="宋体" w:hint="eastAsia"/>
        </w:rPr>
        <w:t xml:space="preserve">cm(宽)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sz w:val="24"/>
          <w:szCs w:val="24"/>
          <w:rFonts w:ascii="宋体" w:hAnsi="宋体" w:hint="eastAsia"/>
        </w:rPr>
        <w:t xml:space="preserve">60cm（高）</w:t>
      </w:r>
      <w:r>
        <w:rPr>
          <w:sz w:val="28"/>
          <w:szCs w:val="28"/>
          <w:rFonts w:hint="eastAsia"/>
        </w:rPr>
      </w:r>
    </w:p>
    <w:p>
      <w:pPr>
        <w:pStyle w:val="Normal"/>
        <w:spacing w:line="360" w:lineRule="auto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4.双磁控凸凹式隔音门，独立双门尺寸：186cm(高)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sz w:val="24"/>
          <w:szCs w:val="24"/>
          <w:rFonts w:ascii="宋体" w:hAnsi="宋体" w:hint="eastAsia"/>
        </w:rPr>
        <w:t xml:space="preserve">80cm（宽）</w:t>
      </w:r>
      <w:r>
        <w:rPr>
          <w:sz w:val="28"/>
          <w:szCs w:val="28"/>
          <w:rFonts w:hint="eastAsia"/>
        </w:rPr>
      </w:r>
    </w:p>
    <w:p>
      <w:pPr>
        <w:pStyle w:val="Normal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5.</w:t>
      </w:r>
      <w:r>
        <w:rPr>
          <w:sz w:val="24"/>
          <w:szCs w:val="24"/>
          <w:rFonts w:hint="eastAsia"/>
        </w:rPr>
        <w:t xml:space="preserve">独立超强静音换气系统，具有良好的空气流通性,</w:t>
      </w:r>
      <w:r>
        <w:rPr>
          <w:sz w:val="24"/>
          <w:szCs w:val="24"/>
          <w:rFonts w:ascii="宋体" w:hAnsi="宋体" w:hint="eastAsia"/>
        </w:rPr>
        <w:t xml:space="preserve">换气量大于每小时5-10立方通风工作状态下隔音室内强制通风换气、可接空调引入通风（风口噪声小于22dB）；</w:t>
      </w:r>
      <w:r>
        <w:rPr>
          <w:sz w:val="24"/>
          <w:szCs w:val="24"/>
          <w:rFonts w:ascii="宋体" w:hAnsi="宋体" w:hint="eastAsia"/>
        </w:rPr>
      </w:r>
    </w:p>
    <w:p>
      <w:pPr>
        <w:pStyle w:val="Normal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6.双“悬浮” 式阻尼减振器与原地面隔离, 减振器额定载荷：160Kg/只；额定静变形：7±2mm/只；额定固有频率：7±1HZ/只；阻尼比：≥0.05，耐高温、耐潮湿，不老化蠕变。</w:t>
      </w:r>
      <w:r>
        <w:rPr>
          <w:sz w:val="24"/>
          <w:szCs w:val="24"/>
          <w:rFonts w:ascii="宋体" w:hAnsi="宋体"/>
        </w:rPr>
      </w:r>
    </w:p>
    <w:p>
      <w:pPr>
        <w:pStyle w:val="Normal"/>
        <w:spacing w:line="360" w:lineRule="auto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7.密闭式信号接入系统</w:t>
      </w:r>
      <w:r>
        <w:rPr>
          <w:sz w:val="24"/>
          <w:lang w:eastAsia="zh-CN"/>
          <w:szCs w:val="24"/>
          <w:rFonts w:ascii="宋体" w:hAnsi="宋体" w:hint="eastAsia"/>
        </w:rPr>
        <w:t xml:space="preserve">和</w:t>
      </w:r>
      <w:r>
        <w:rPr>
          <w:sz w:val="24"/>
          <w:szCs w:val="24"/>
          <w:rFonts w:ascii="宋体" w:hAnsi="宋体" w:hint="eastAsia"/>
        </w:rPr>
        <w:t xml:space="preserve">信号转换接口, 可减少检测设备的声音衰减</w:t>
      </w:r>
      <w:r>
        <w:rPr>
          <w:sz w:val="24"/>
          <w:lang w:eastAsia="zh-CN"/>
          <w:szCs w:val="24"/>
          <w:rFonts w:ascii="宋体" w:hAnsi="宋体" w:hint="eastAsia"/>
        </w:rPr>
        <w:t xml:space="preserve">。</w:t>
      </w:r>
      <w:r>
        <w:rPr>
          <w:sz w:val="24"/>
          <w:lang w:eastAsia="zh-CN"/>
          <w:szCs w:val="24"/>
          <w:rFonts w:ascii="宋体" w:hAnsi="宋体" w:eastAsia="宋体" w:hint="eastAsia"/>
        </w:rPr>
      </w:r>
    </w:p>
    <w:p>
      <w:pPr>
        <w:pStyle w:val="Normal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8. 外</w:t>
      </w:r>
      <w:r>
        <w:rPr>
          <w:sz w:val="24"/>
          <w:szCs w:val="24"/>
          <w:rFonts w:hint="eastAsia"/>
        </w:rPr>
        <w:t xml:space="preserve">表面1.5 mm外饰烤漆钢板,防潮、防锈，不得使用喷漆,</w:t>
      </w:r>
      <w:r>
        <w:rPr>
          <w:sz w:val="24"/>
          <w:szCs w:val="24"/>
          <w:rFonts w:ascii="宋体" w:hAnsi="宋体" w:hint="eastAsia"/>
        </w:rPr>
        <w:t xml:space="preserve"> 钢板内必须附着阻尼材料，防止钢板共振</w:t>
      </w:r>
      <w:r>
        <w:rPr>
          <w:sz w:val="24"/>
          <w:szCs w:val="24"/>
          <w:rFonts w:ascii="宋体" w:hAnsi="宋体" w:hint="eastAsia"/>
        </w:rPr>
      </w:r>
    </w:p>
    <w:p>
      <w:pPr>
        <w:pStyle w:val="Normal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9.</w:t>
      </w:r>
      <w:r>
        <w:rPr>
          <w:sz w:val="24"/>
          <w:szCs w:val="24"/>
          <w:rFonts w:hint="eastAsia"/>
        </w:rPr>
        <w:t xml:space="preserve">内表面：</w:t>
      </w:r>
      <w:r>
        <w:rPr>
          <w:sz w:val="24"/>
          <w:lang w:eastAsia="zh-CN"/>
          <w:szCs w:val="24"/>
          <w:rFonts w:hint="eastAsia"/>
        </w:rPr>
        <w:t xml:space="preserve">使用</w:t>
      </w:r>
      <w:r>
        <w:rPr>
          <w:sz w:val="24"/>
          <w:lang w:val="en-US" w:eastAsia="zh-CN"/>
          <w:szCs w:val="24"/>
          <w:rFonts w:hint="eastAsia"/>
        </w:rPr>
        <w:t xml:space="preserve">50cm（宽）</w:t>
      </w:r>
      <w:r>
        <w:rPr>
          <w:color w:val="000000"/>
          <w:sz w:val="24"/>
          <w:szCs w:val="24"/>
          <w:rFonts w:ascii="Arial" w:hAnsi="Arial"/>
        </w:rPr>
        <w:t xml:space="preserve">×</w:t>
      </w:r>
      <w:r>
        <w:rPr>
          <w:sz w:val="24"/>
          <w:lang w:val="en-US" w:eastAsia="zh-CN"/>
          <w:szCs w:val="24"/>
          <w:rFonts w:hint="eastAsia"/>
        </w:rPr>
        <w:t xml:space="preserve">210cm（长）的</w:t>
      </w:r>
      <w:r>
        <w:rPr>
          <w:sz w:val="24"/>
          <w:szCs w:val="24"/>
          <w:rFonts w:hint="eastAsia"/>
        </w:rPr>
        <w:t xml:space="preserve">冲孔铝板，冲孔率4</w:t>
      </w:r>
      <w:r>
        <w:rPr>
          <w:sz w:val="24"/>
          <w:lang w:val="en-US" w:eastAsia="zh-CN"/>
          <w:szCs w:val="24"/>
          <w:rFonts w:hint="eastAsia"/>
        </w:rPr>
        <w:t xml:space="preserve">0</w:t>
      </w:r>
      <w:r>
        <w:rPr>
          <w:sz w:val="24"/>
          <w:szCs w:val="24"/>
          <w:rFonts w:hint="eastAsia"/>
        </w:rPr>
        <w:t xml:space="preserve">%</w:t>
      </w:r>
      <w:r>
        <w:rPr>
          <w:sz w:val="24"/>
          <w:lang w:val="en-US" w:eastAsia="zh-CN"/>
          <w:szCs w:val="24"/>
          <w:rFonts w:hint="eastAsia"/>
        </w:rPr>
        <w:t xml:space="preserve">.</w:t>
      </w:r>
      <w:r>
        <w:rPr>
          <w:sz w:val="24"/>
          <w:lang w:val="en-US" w:eastAsia="zh-CN"/>
          <w:szCs w:val="24"/>
          <w:rFonts w:hint="eastAsia"/>
        </w:rPr>
      </w:r>
    </w:p>
    <w:p>
      <w:pPr>
        <w:pStyle w:val="Normal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10.</w:t>
      </w:r>
      <w:r>
        <w:rPr>
          <w:sz w:val="24"/>
          <w:szCs w:val="24"/>
          <w:rFonts w:hint="eastAsia"/>
        </w:rPr>
        <w:t xml:space="preserve">内</w:t>
      </w:r>
      <w:r>
        <w:rPr>
          <w:sz w:val="24"/>
          <w:szCs w:val="24"/>
          <w:rFonts w:ascii="宋体" w:hAnsi="宋体" w:hint="eastAsia"/>
        </w:rPr>
        <w:t xml:space="preserve">地面：环保</w:t>
      </w:r>
      <w:r>
        <w:rPr>
          <w:sz w:val="24"/>
          <w:lang w:eastAsia="zh-CN"/>
          <w:szCs w:val="24"/>
          <w:rFonts w:ascii="宋体" w:hAnsi="宋体" w:hint="eastAsia"/>
        </w:rPr>
        <w:t xml:space="preserve">地毯</w:t>
      </w:r>
      <w:r>
        <w:rPr>
          <w:sz w:val="24"/>
          <w:lang w:eastAsia="zh-CN"/>
          <w:szCs w:val="24"/>
          <w:rFonts w:ascii="宋体" w:hAnsi="宋体" w:eastAsia="宋体" w:hint="eastAsia"/>
        </w:rPr>
      </w:r>
    </w:p>
    <w:p>
      <w:pPr>
        <w:pStyle w:val="Normal"/>
        <w:spacing w:line="360" w:lineRule="auto"/>
        <w:ind w:firstLineChars="-150" w:hanging="360" w:left="36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11.回字型双层悬浮结构，测听室六面墙体不得与房间混凝土墙体有刚性连接，组装式，可拆卸、搬迁，现场施工不得焊接,全部采用环保材料、安装完成即可投入使用</w:t>
      </w:r>
      <w:r>
        <w:rPr>
          <w:sz w:val="24"/>
          <w:szCs w:val="24"/>
          <w:rFonts w:ascii="宋体" w:hAnsi="宋体" w:hint="eastAsia"/>
        </w:rPr>
      </w:r>
    </w:p>
    <w:p>
      <w:pPr>
        <w:pStyle w:val="Normal"/>
        <w:spacing w:line="360" w:lineRule="auto"/>
        <w:ind w:firstLineChars="-100" w:hanging="240" w:left="24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12.LED吸顶灯,与隔音室顶部平整</w:t>
      </w:r>
      <w:r>
        <w:rPr>
          <w:sz w:val="24"/>
          <w:szCs w:val="24"/>
          <w:rFonts w:ascii="宋体" w:hAnsi="宋体" w:hint="eastAsia"/>
        </w:rPr>
      </w:r>
    </w:p>
    <w:p>
      <w:pPr>
        <w:pStyle w:val="179"/>
        <w:spacing w:line="360" w:lineRule="auto"/>
        <w:ind w:firstLineChars="-200" w:hanging="480" w:left="48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13.电源：220V  50HZ使用环境：温度 -15 ～ 60度   </w:t>
      </w:r>
    </w:p>
    <w:sectPr>
      <w:headerReference r:id="rId3" w:type="default"/>
      <w:type w:val="nextPage"/>
      <w:docGrid w:type="lines" w:linePitch="312"/>
      <w:pgSz w:w="11906" w:h="16838"/>
      <w:pgMar w:top="1440" w:right="17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7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kern w:val="2"/>
      <w:rFonts w:ascii="Times New Roman" w:hAnsi="Times New Roman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Char"/>
    <w:link w:val="Footer"/>
    <w:rPr>
      <w:sz w:val="18"/>
      <w:szCs w:val="18"/>
      <w:kern w:val="2"/>
      <w:rFonts w:ascii="Times New Roman" w:hAnsi="Times New Roman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眉 Char"/>
    <w:link w:val="Header"/>
    <w:rPr>
      <w:sz w:val="18"/>
      <w:szCs w:val="18"/>
      <w:kern w:val="2"/>
      <w:rFonts w:ascii="Times New Roman" w:hAnsi="Times New Roman"/>
    </w:rPr>
  </w:style>
  <w:style w:type="paragraph" w:styleId="179">
    <w:name w:val="列出段落"/>
    <w:basedOn w:val="Normal"/>
    <w:link w:val="Normal"/>
    <w:pPr>
      <w:contextualSpacing/>
      <w:ind w:left="72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